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bidi w:val="0"/>
      </w:pPr>
    </w:p>
    <w:p>
      <w:pPr>
        <w:pStyle w:val="2"/>
        <w:keepNext w:val="0"/>
        <w:keepLines w:val="0"/>
        <w:pageBreakBefore w:val="0"/>
        <w:widowControl/>
        <w:suppressLineNumbers w:val="0"/>
        <w:suppressAutoHyphens w:val="0"/>
        <w:bidi w:val="0"/>
      </w:pPr>
    </w:p>
    <w:p>
      <w:pPr>
        <w:keepNext w:val="0"/>
        <w:keepLines w:val="0"/>
        <w:pageBreakBefore w:val="0"/>
        <w:widowControl w:val="0"/>
        <w:suppressLineNumbers w:val="0"/>
        <w:suppressAutoHyphens w:val="0"/>
        <w:bidi w:val="0"/>
      </w:pPr>
    </w:p>
    <w:p>
      <w:pPr>
        <w:pStyle w:val="2"/>
        <w:keepNext w:val="0"/>
        <w:keepLines w:val="0"/>
        <w:pageBreakBefore w:val="0"/>
        <w:widowControl/>
        <w:suppressLineNumbers w:val="0"/>
        <w:suppressAutoHyphens w:val="0"/>
        <w:bidi w:val="0"/>
      </w:pPr>
    </w:p>
    <w:p>
      <w:pPr>
        <w:keepNext w:val="0"/>
        <w:keepLines w:val="0"/>
        <w:pageBreakBefore w:val="0"/>
        <w:widowControl w:val="0"/>
        <w:suppressLineNumbers w:val="0"/>
        <w:suppressAutoHyphens w:val="0"/>
        <w:bidi w:val="0"/>
      </w:pPr>
    </w:p>
    <w:p>
      <w:pPr>
        <w:keepNext w:val="0"/>
        <w:keepLines w:val="0"/>
        <w:pageBreakBefore w:val="0"/>
        <w:kinsoku/>
        <w:wordWrap/>
        <w:overflowPunct/>
        <w:topLinePunct w:val="0"/>
        <w:autoSpaceDE/>
        <w:autoSpaceDN/>
        <w:bidi w:val="0"/>
        <w:spacing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鸡环审〔2025〕</w:t>
      </w:r>
      <w:r>
        <w:rPr>
          <w:rFonts w:hint="eastAsia" w:eastAsia="仿宋_GB2312" w:cs="Times New Roman"/>
          <w:sz w:val="32"/>
          <w:szCs w:val="32"/>
          <w:lang w:val="en-US" w:eastAsia="zh-CN"/>
        </w:rPr>
        <w:t>27</w:t>
      </w:r>
      <w:r>
        <w:rPr>
          <w:rFonts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bCs/>
          <w:sz w:val="32"/>
          <w:szCs w:val="32"/>
          <w:shd w:val="clear" w:color="auto" w:fill="auto"/>
        </w:rPr>
      </w:pPr>
    </w:p>
    <w:p>
      <w:pPr>
        <w:pStyle w:val="10"/>
        <w:keepNext w:val="0"/>
        <w:keepLines w:val="0"/>
        <w:pageBreakBefore w:val="0"/>
        <w:widowControl/>
        <w:kinsoku/>
        <w:wordWrap/>
        <w:overflowPunct/>
        <w:topLinePunct w:val="0"/>
        <w:autoSpaceDE/>
        <w:autoSpaceDN/>
        <w:adjustRightInd/>
        <w:snapToGrid/>
        <w:spacing w:beforeAutospacing="0" w:afterAutospacing="0" w:line="560" w:lineRule="exact"/>
        <w:jc w:val="center"/>
        <w:rPr>
          <w:rFonts w:hint="eastAsia" w:ascii="方正小标宋简体" w:hAnsi="方正小标宋简体" w:eastAsia="方正小标宋简体" w:cs="方正小标宋简体"/>
          <w:spacing w:val="-6"/>
          <w:kern w:val="2"/>
          <w:sz w:val="44"/>
          <w:szCs w:val="44"/>
          <w:shd w:val="clear" w:color="auto" w:fill="auto"/>
          <w:lang w:eastAsia="zh-CN"/>
        </w:rPr>
      </w:pPr>
      <w:r>
        <w:rPr>
          <w:rFonts w:hint="eastAsia" w:ascii="方正小标宋简体" w:hAnsi="方正小标宋简体" w:eastAsia="方正小标宋简体" w:cs="方正小标宋简体"/>
          <w:spacing w:val="-6"/>
          <w:sz w:val="44"/>
          <w:szCs w:val="44"/>
          <w:shd w:val="clear" w:color="auto" w:fill="auto"/>
        </w:rPr>
        <w:t>关</w:t>
      </w:r>
      <w:r>
        <w:rPr>
          <w:rFonts w:hint="eastAsia" w:ascii="方正小标宋简体" w:hAnsi="方正小标宋简体" w:eastAsia="方正小标宋简体" w:cs="方正小标宋简体"/>
          <w:spacing w:val="-6"/>
          <w:kern w:val="2"/>
          <w:sz w:val="44"/>
          <w:szCs w:val="44"/>
          <w:shd w:val="clear" w:color="auto" w:fill="auto"/>
        </w:rPr>
        <w:t>于</w:t>
      </w:r>
      <w:r>
        <w:rPr>
          <w:rFonts w:hint="eastAsia" w:ascii="方正小标宋简体" w:hAnsi="方正小标宋简体" w:eastAsia="方正小标宋简体" w:cs="方正小标宋简体"/>
          <w:spacing w:val="-6"/>
          <w:kern w:val="2"/>
          <w:sz w:val="44"/>
          <w:szCs w:val="44"/>
          <w:shd w:val="clear" w:color="auto" w:fill="auto"/>
          <w:lang w:eastAsia="zh-CN"/>
        </w:rPr>
        <w:t>张新矿锅炉房改扩建项目</w:t>
      </w:r>
    </w:p>
    <w:p>
      <w:pPr>
        <w:pStyle w:val="10"/>
        <w:keepNext w:val="0"/>
        <w:keepLines w:val="0"/>
        <w:pageBreakBefore w:val="0"/>
        <w:widowControl/>
        <w:kinsoku/>
        <w:wordWrap/>
        <w:overflowPunct/>
        <w:topLinePunct w:val="0"/>
        <w:autoSpaceDE/>
        <w:autoSpaceDN/>
        <w:adjustRightInd/>
        <w:snapToGrid/>
        <w:spacing w:beforeAutospacing="0" w:afterAutospacing="0" w:line="560" w:lineRule="exact"/>
        <w:jc w:val="center"/>
        <w:rPr>
          <w:rFonts w:hint="eastAsia" w:ascii="方正小标宋简体" w:hAnsi="方正小标宋简体" w:eastAsia="方正小标宋简体" w:cs="方正小标宋简体"/>
          <w:spacing w:val="-6"/>
          <w:kern w:val="2"/>
          <w:sz w:val="44"/>
          <w:szCs w:val="44"/>
          <w:shd w:val="clear" w:color="auto" w:fill="auto"/>
        </w:rPr>
      </w:pPr>
      <w:r>
        <w:rPr>
          <w:rFonts w:hint="eastAsia" w:ascii="方正小标宋简体" w:hAnsi="方正小标宋简体" w:eastAsia="方正小标宋简体" w:cs="方正小标宋简体"/>
          <w:spacing w:val="-6"/>
          <w:kern w:val="2"/>
          <w:sz w:val="44"/>
          <w:szCs w:val="44"/>
          <w:shd w:val="clear" w:color="auto" w:fill="auto"/>
          <w:lang w:eastAsia="zh-CN"/>
        </w:rPr>
        <w:t>环境影响报告表</w:t>
      </w:r>
      <w:r>
        <w:rPr>
          <w:rFonts w:hint="eastAsia" w:ascii="方正小标宋简体" w:hAnsi="方正小标宋简体" w:eastAsia="方正小标宋简体" w:cs="方正小标宋简体"/>
          <w:spacing w:val="-6"/>
          <w:sz w:val="44"/>
          <w:szCs w:val="44"/>
          <w:shd w:val="clear" w:color="auto" w:fill="auto"/>
        </w:rPr>
        <w:t>的批复</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auto"/>
          <w:kern w:val="0"/>
          <w:sz w:val="32"/>
          <w:szCs w:val="32"/>
        </w:rPr>
      </w:pPr>
      <w:r>
        <w:rPr>
          <w:rFonts w:hint="eastAsia" w:eastAsia="仿宋_GB2312" w:cs="Times New Roman"/>
          <w:color w:val="auto"/>
          <w:sz w:val="32"/>
          <w:szCs w:val="32"/>
          <w:lang w:eastAsia="zh-CN"/>
        </w:rPr>
        <w:t xml:space="preserve"> 鸡西市恒山区住房和城乡建设局</w:t>
      </w:r>
      <w:r>
        <w:rPr>
          <w:rFonts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eastAsia="仿宋_GB2312"/>
          <w:kern w:val="0"/>
          <w:sz w:val="32"/>
          <w:szCs w:val="32"/>
        </w:rPr>
      </w:pPr>
      <w:r>
        <w:rPr>
          <w:rFonts w:ascii="Times New Roman" w:hAnsi="Times New Roman" w:eastAsia="仿宋_GB2312" w:cs="Times New Roman"/>
          <w:color w:val="auto"/>
          <w:kern w:val="0"/>
          <w:sz w:val="32"/>
          <w:szCs w:val="32"/>
        </w:rPr>
        <w:t>你单位《关于申请</w:t>
      </w:r>
      <w:r>
        <w:rPr>
          <w:rFonts w:hint="eastAsia" w:eastAsia="仿宋_GB2312" w:cs="Times New Roman"/>
          <w:color w:val="auto"/>
          <w:kern w:val="0"/>
          <w:sz w:val="32"/>
          <w:szCs w:val="32"/>
          <w:lang w:eastAsia="zh-CN"/>
        </w:rPr>
        <w:t>张新矿锅炉房改扩建项目</w:t>
      </w:r>
      <w:r>
        <w:rPr>
          <w:rFonts w:ascii="Times New Roman" w:hAnsi="Times New Roman" w:eastAsia="仿宋_GB2312" w:cs="Times New Roman"/>
          <w:color w:val="auto"/>
          <w:spacing w:val="-6"/>
          <w:sz w:val="32"/>
          <w:szCs w:val="32"/>
        </w:rPr>
        <w:t>环境影响评价文件的函</w:t>
      </w:r>
      <w:r>
        <w:rPr>
          <w:rFonts w:ascii="Times New Roman" w:hAnsi="Times New Roman" w:eastAsia="仿宋_GB2312" w:cs="Times New Roman"/>
          <w:color w:val="auto"/>
          <w:kern w:val="0"/>
          <w:sz w:val="32"/>
          <w:szCs w:val="32"/>
        </w:rPr>
        <w:t>》及相关材料收悉，经研究，批复如下。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一、项目基本情况</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该项目属</w:t>
      </w:r>
      <w:r>
        <w:rPr>
          <w:rFonts w:ascii="Times New Roman" w:hAnsi="Times New Roman" w:eastAsia="仿宋_GB2312" w:cs="Times New Roman"/>
          <w:color w:val="auto"/>
          <w:sz w:val="32"/>
          <w:szCs w:val="32"/>
          <w:lang w:val="en-US" w:eastAsia="zh-CN"/>
        </w:rPr>
        <w:t>改扩建工程</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位于</w:t>
      </w:r>
      <w:r>
        <w:rPr>
          <w:rFonts w:hint="eastAsia" w:eastAsia="仿宋_GB2312" w:cs="Times New Roman"/>
          <w:color w:val="auto"/>
          <w:sz w:val="32"/>
          <w:szCs w:val="32"/>
          <w:lang w:eastAsia="zh-CN"/>
        </w:rPr>
        <w:t>恒山区张新街道长胜一队</w:t>
      </w:r>
      <w:r>
        <w:rPr>
          <w:rFonts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现有工程</w:t>
      </w:r>
      <w:r>
        <w:rPr>
          <w:rFonts w:ascii="Times New Roman" w:hAnsi="Times New Roman" w:eastAsia="仿宋_GB2312" w:cs="Times New Roman"/>
          <w:color w:val="auto"/>
          <w:sz w:val="32"/>
          <w:szCs w:val="32"/>
          <w:lang w:eastAsia="zh-CN"/>
        </w:rPr>
        <w:t>占地面积</w:t>
      </w:r>
      <w:r>
        <w:rPr>
          <w:rFonts w:hint="eastAsia" w:eastAsia="仿宋_GB2312" w:cs="Times New Roman"/>
          <w:color w:val="auto"/>
          <w:sz w:val="32"/>
          <w:szCs w:val="32"/>
          <w:lang w:val="en-US" w:eastAsia="zh-CN"/>
        </w:rPr>
        <w:t>3000</w:t>
      </w:r>
      <w:r>
        <w:rPr>
          <w:rFonts w:ascii="Times New Roman" w:hAnsi="Times New Roman" w:eastAsia="仿宋_GB2312" w:cs="Times New Roman"/>
          <w:color w:val="auto"/>
          <w:sz w:val="32"/>
          <w:szCs w:val="32"/>
          <w:lang w:eastAsia="zh-CN"/>
        </w:rPr>
        <w:t>m</w:t>
      </w:r>
      <w:r>
        <w:rPr>
          <w:rFonts w:ascii="Times New Roman" w:hAnsi="Times New Roman" w:eastAsia="仿宋_GB2312" w:cs="Times New Roman"/>
          <w:color w:val="auto"/>
          <w:sz w:val="32"/>
          <w:szCs w:val="32"/>
          <w:vertAlign w:val="superscript"/>
          <w:lang w:eastAsia="zh-CN"/>
        </w:rPr>
        <w:t>2</w:t>
      </w:r>
      <w:r>
        <w:rPr>
          <w:rFonts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项目在现有锅炉房</w:t>
      </w:r>
      <w:r>
        <w:rPr>
          <w:rFonts w:hint="eastAsia" w:eastAsia="仿宋_GB2312" w:cs="Times New Roman"/>
          <w:color w:val="auto"/>
          <w:sz w:val="32"/>
          <w:szCs w:val="32"/>
          <w:lang w:val="en-US" w:eastAsia="zh-CN"/>
        </w:rPr>
        <w:t>内</w:t>
      </w:r>
      <w:r>
        <w:rPr>
          <w:rFonts w:ascii="Times New Roman" w:hAnsi="Times New Roman" w:eastAsia="仿宋_GB2312" w:cs="Times New Roman"/>
          <w:color w:val="auto"/>
          <w:sz w:val="32"/>
          <w:szCs w:val="32"/>
          <w:lang w:eastAsia="zh-CN"/>
        </w:rPr>
        <w:t>新建</w:t>
      </w:r>
      <w:r>
        <w:rPr>
          <w:rFonts w:hint="eastAsia" w:eastAsia="仿宋_GB2312" w:cs="Times New Roman"/>
          <w:color w:val="auto"/>
          <w:sz w:val="32"/>
          <w:szCs w:val="32"/>
          <w:lang w:val="en-US" w:eastAsia="zh-CN"/>
        </w:rPr>
        <w:t>1</w:t>
      </w:r>
      <w:r>
        <w:rPr>
          <w:rFonts w:ascii="Times New Roman" w:hAnsi="Times New Roman" w:eastAsia="仿宋_GB2312" w:cs="Times New Roman"/>
          <w:color w:val="auto"/>
          <w:sz w:val="32"/>
          <w:szCs w:val="32"/>
          <w:lang w:eastAsia="zh-CN"/>
        </w:rPr>
        <w:t>台</w:t>
      </w:r>
      <w:r>
        <w:rPr>
          <w:rFonts w:hint="eastAsia" w:eastAsia="仿宋_GB2312" w:cs="Times New Roman"/>
          <w:color w:val="auto"/>
          <w:sz w:val="32"/>
          <w:szCs w:val="32"/>
          <w:lang w:val="en-US" w:eastAsia="zh-CN"/>
        </w:rPr>
        <w:t>4.2MW</w:t>
      </w:r>
      <w:r>
        <w:rPr>
          <w:rFonts w:hint="eastAsia" w:eastAsia="仿宋_GB2312" w:cs="Times New Roman"/>
          <w:color w:val="auto"/>
          <w:sz w:val="32"/>
          <w:szCs w:val="32"/>
          <w:lang w:eastAsia="zh-CN"/>
        </w:rPr>
        <w:t>生物质锅炉及配套环保工程，辅助工程、储运工程等依托原有</w:t>
      </w:r>
      <w:r>
        <w:rPr>
          <w:rFonts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项目建成后新建锅炉年运行时间</w:t>
      </w:r>
      <w:r>
        <w:rPr>
          <w:rFonts w:hint="eastAsia" w:eastAsia="仿宋_GB2312" w:cs="Times New Roman"/>
          <w:color w:val="auto"/>
          <w:sz w:val="32"/>
          <w:szCs w:val="32"/>
          <w:lang w:val="en-US" w:eastAsia="zh-CN"/>
        </w:rPr>
        <w:t>4320h，</w:t>
      </w:r>
      <w:r>
        <w:rPr>
          <w:rFonts w:hint="eastAsia" w:eastAsia="仿宋_GB2312" w:cs="Times New Roman"/>
          <w:color w:val="auto"/>
          <w:sz w:val="32"/>
          <w:szCs w:val="32"/>
          <w:lang w:eastAsia="zh-CN"/>
        </w:rPr>
        <w:t>原有</w:t>
      </w:r>
      <w:r>
        <w:rPr>
          <w:rFonts w:hint="eastAsia" w:eastAsia="仿宋_GB2312" w:cs="Times New Roman"/>
          <w:color w:val="auto"/>
          <w:sz w:val="32"/>
          <w:szCs w:val="32"/>
          <w:lang w:val="en-US" w:eastAsia="zh-CN"/>
        </w:rPr>
        <w:t>4.2MW生物质锅炉作为备用锅炉</w:t>
      </w:r>
      <w:r>
        <w:rPr>
          <w:rFonts w:ascii="Times New Roman" w:hAnsi="Times New Roman" w:eastAsia="仿宋_GB2312" w:cs="Times New Roman"/>
          <w:color w:val="auto"/>
          <w:sz w:val="32"/>
          <w:szCs w:val="32"/>
          <w:lang w:eastAsia="zh-CN"/>
        </w:rPr>
        <w:t>。项目总投资</w:t>
      </w:r>
      <w:r>
        <w:rPr>
          <w:rFonts w:hint="eastAsia" w:eastAsia="仿宋_GB2312" w:cs="Times New Roman"/>
          <w:color w:val="auto"/>
          <w:sz w:val="32"/>
          <w:szCs w:val="32"/>
          <w:lang w:val="en-US" w:eastAsia="zh-CN"/>
        </w:rPr>
        <w:t>120</w:t>
      </w:r>
      <w:r>
        <w:rPr>
          <w:rFonts w:ascii="Times New Roman" w:hAnsi="Times New Roman" w:eastAsia="仿宋_GB2312" w:cs="Times New Roman"/>
          <w:color w:val="auto"/>
          <w:sz w:val="32"/>
          <w:szCs w:val="32"/>
          <w:lang w:eastAsia="zh-CN"/>
        </w:rPr>
        <w:t>万元，其中环保投资</w:t>
      </w:r>
      <w:r>
        <w:rPr>
          <w:rFonts w:hint="eastAsia" w:eastAsia="仿宋_GB2312" w:cs="Times New Roman"/>
          <w:color w:val="auto"/>
          <w:sz w:val="32"/>
          <w:szCs w:val="32"/>
          <w:lang w:val="en-US" w:eastAsia="zh-CN"/>
        </w:rPr>
        <w:t>45</w:t>
      </w:r>
      <w:r>
        <w:rPr>
          <w:rFonts w:ascii="Times New Roman" w:hAnsi="Times New Roman" w:eastAsia="仿宋_GB2312" w:cs="Times New Roman"/>
          <w:color w:val="auto"/>
          <w:sz w:val="32"/>
          <w:szCs w:val="32"/>
          <w:lang w:eastAsia="zh-CN"/>
        </w:rPr>
        <w:t>万元。</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该项目</w:t>
      </w:r>
      <w:r>
        <w:rPr>
          <w:rFonts w:ascii="Times New Roman" w:hAnsi="Times New Roman" w:eastAsia="仿宋_GB2312" w:cs="Times New Roman"/>
          <w:color w:val="auto"/>
          <w:sz w:val="32"/>
          <w:szCs w:val="32"/>
        </w:rPr>
        <w:t>在全面落实</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张新锅炉房改扩建项目</w:t>
      </w:r>
      <w:r>
        <w:rPr>
          <w:rFonts w:hint="eastAsia" w:ascii="Times New Roman" w:hAnsi="Times New Roman" w:eastAsia="仿宋_GB2312" w:cs="Times New Roman"/>
          <w:color w:val="auto"/>
          <w:sz w:val="32"/>
          <w:szCs w:val="32"/>
          <w:lang w:eastAsia="zh-CN"/>
        </w:rPr>
        <w:t>环境影响报告</w:t>
      </w:r>
      <w:r>
        <w:rPr>
          <w:rFonts w:hint="eastAsia" w:eastAsia="仿宋_GB2312" w:cs="Times New Roman"/>
          <w:color w:val="auto"/>
          <w:sz w:val="32"/>
          <w:szCs w:val="32"/>
          <w:lang w:eastAsia="zh-CN"/>
        </w:rPr>
        <w:t>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rPr>
        <w:t>（以下简称《报告</w:t>
      </w:r>
      <w:r>
        <w:rPr>
          <w:rFonts w:hint="eastAsia" w:eastAsia="仿宋_GB2312" w:cs="Times New Roman"/>
          <w:sz w:val="32"/>
          <w:szCs w:val="32"/>
          <w:lang w:eastAsia="zh-CN"/>
        </w:rPr>
        <w:t>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和本批复</w:t>
      </w:r>
      <w:r>
        <w:rPr>
          <w:rFonts w:ascii="Times New Roman" w:hAnsi="Times New Roman" w:eastAsia="仿宋_GB2312" w:cs="Times New Roman"/>
          <w:color w:val="auto"/>
          <w:sz w:val="32"/>
          <w:szCs w:val="32"/>
        </w:rPr>
        <w:t>提出的各项生态环境保护措施</w:t>
      </w:r>
      <w:r>
        <w:rPr>
          <w:rFonts w:hint="eastAsia" w:ascii="Times New Roman" w:hAnsi="Times New Roman" w:eastAsia="仿宋_GB2312" w:cs="Times New Roman"/>
          <w:color w:val="auto"/>
          <w:sz w:val="32"/>
          <w:szCs w:val="32"/>
          <w:lang w:val="en-US" w:eastAsia="zh-CN"/>
        </w:rPr>
        <w:t>后</w:t>
      </w:r>
      <w:r>
        <w:rPr>
          <w:rFonts w:ascii="Times New Roman" w:hAnsi="Times New Roman" w:eastAsia="仿宋_GB2312" w:cs="Times New Roman"/>
          <w:color w:val="auto"/>
          <w:sz w:val="32"/>
          <w:szCs w:val="32"/>
        </w:rPr>
        <w:t>，对环境的不利影响可以得到缓解和控制。我局原则同意</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报告</w:t>
      </w:r>
      <w:r>
        <w:rPr>
          <w:rFonts w:hint="eastAsia" w:eastAsia="仿宋_GB2312" w:cs="Times New Roman"/>
          <w:color w:val="auto"/>
          <w:sz w:val="32"/>
          <w:szCs w:val="32"/>
          <w:lang w:eastAsia="zh-CN"/>
        </w:rPr>
        <w:t>表</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中的环境影响评价总体结论和各项生态环境保护措施。</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二、项目建设的主要生态环境影响及保护措施</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仿宋_GB2312" w:hAnsi="方正楷体_GBK" w:eastAsia="仿宋_GB2312" w:cs="仿宋_GB2312"/>
          <w:color w:val="auto"/>
          <w:sz w:val="32"/>
          <w:szCs w:val="32"/>
          <w:lang w:eastAsia="zh-CN"/>
        </w:rPr>
      </w:pPr>
      <w:r>
        <w:rPr>
          <w:rFonts w:ascii="方正楷体_GBK" w:hAnsi="方正楷体_GBK" w:eastAsia="方正楷体_GBK" w:cs="方正楷体_GBK"/>
          <w:color w:val="auto"/>
          <w:sz w:val="32"/>
          <w:szCs w:val="32"/>
          <w:lang w:eastAsia="zh-CN"/>
        </w:rPr>
        <w:t>（一）施工期环境影响及保护措施。</w:t>
      </w:r>
      <w:r>
        <w:rPr>
          <w:rFonts w:hint="eastAsia" w:ascii="仿宋_GB2312" w:hAnsi="方正楷体_GBK" w:eastAsia="仿宋_GB2312" w:cs="仿宋_GB2312"/>
          <w:color w:val="auto"/>
          <w:sz w:val="32"/>
          <w:szCs w:val="32"/>
          <w:lang w:eastAsia="zh-CN"/>
        </w:rPr>
        <w:t>加强施工</w:t>
      </w:r>
      <w:r>
        <w:rPr>
          <w:rFonts w:ascii="仿宋_GB2312" w:hAnsi="方正楷体_GBK" w:eastAsia="仿宋_GB2312" w:cs="仿宋_GB2312"/>
          <w:color w:val="auto"/>
          <w:sz w:val="32"/>
          <w:szCs w:val="32"/>
          <w:lang w:eastAsia="zh-CN"/>
        </w:rPr>
        <w:t>厂</w:t>
      </w:r>
      <w:r>
        <w:rPr>
          <w:rFonts w:hint="eastAsia" w:ascii="仿宋_GB2312" w:hAnsi="方正楷体_GBK" w:eastAsia="仿宋_GB2312" w:cs="仿宋_GB2312"/>
          <w:color w:val="auto"/>
          <w:sz w:val="32"/>
          <w:szCs w:val="32"/>
          <w:lang w:eastAsia="zh-CN"/>
        </w:rPr>
        <w:t>车辆的管理和维修，定期对施工设备进行维护，减少尾气排放，厂</w:t>
      </w:r>
      <w:r>
        <w:rPr>
          <w:rFonts w:ascii="仿宋_GB2312" w:hAnsi="方正楷体_GBK" w:eastAsia="仿宋_GB2312" w:cs="仿宋_GB2312"/>
          <w:color w:val="auto"/>
          <w:sz w:val="32"/>
          <w:szCs w:val="32"/>
          <w:lang w:eastAsia="zh-CN"/>
        </w:rPr>
        <w:t>界</w:t>
      </w:r>
      <w:r>
        <w:rPr>
          <w:rFonts w:hint="eastAsia" w:ascii="仿宋_GB2312" w:hAnsi="方正楷体_GBK" w:eastAsia="仿宋_GB2312" w:cs="仿宋_GB2312"/>
          <w:color w:val="auto"/>
          <w:sz w:val="32"/>
          <w:szCs w:val="32"/>
          <w:lang w:eastAsia="zh-CN"/>
        </w:rPr>
        <w:t>颗粒物浓度应符合《大气污染物综合排放标准》（GB16297-1996）无组织排放要求。施工期生活污水</w:t>
      </w:r>
      <w:r>
        <w:rPr>
          <w:rFonts w:ascii="仿宋_GB2312" w:hAnsi="方正楷体_GBK" w:eastAsia="仿宋_GB2312" w:cs="仿宋_GB2312"/>
          <w:color w:val="auto"/>
          <w:sz w:val="32"/>
          <w:szCs w:val="32"/>
          <w:lang w:eastAsia="zh-CN"/>
        </w:rPr>
        <w:t>排</w:t>
      </w:r>
      <w:r>
        <w:rPr>
          <w:rFonts w:hint="eastAsia" w:ascii="仿宋_GB2312" w:hAnsi="方正楷体_GBK" w:eastAsia="仿宋_GB2312" w:cs="仿宋_GB2312"/>
          <w:color w:val="auto"/>
          <w:sz w:val="32"/>
          <w:szCs w:val="32"/>
          <w:lang w:eastAsia="zh-CN"/>
        </w:rPr>
        <w:t>入防渗旱厕</w:t>
      </w:r>
      <w:r>
        <w:rPr>
          <w:rFonts w:ascii="仿宋_GB2312" w:hAnsi="方正楷体_GBK" w:eastAsia="仿宋_GB2312" w:cs="仿宋_GB2312"/>
          <w:color w:val="auto"/>
          <w:sz w:val="32"/>
          <w:szCs w:val="32"/>
          <w:lang w:eastAsia="zh-CN"/>
        </w:rPr>
        <w:t>，</w:t>
      </w:r>
      <w:r>
        <w:rPr>
          <w:rFonts w:hint="eastAsia" w:ascii="仿宋_GB2312" w:hAnsi="方正楷体_GBK" w:eastAsia="仿宋_GB2312" w:cs="仿宋_GB2312"/>
          <w:color w:val="auto"/>
          <w:sz w:val="32"/>
          <w:szCs w:val="32"/>
          <w:lang w:eastAsia="zh-CN"/>
        </w:rPr>
        <w:t>定期清掏外运堆肥。选用低噪声机械，加设隔声屏障，合理安排施工时间，噪声应符合《建筑施工场界环境噪声排放标准》（GB12523-2011）标准要求。施工过程产生建筑垃圾应</w:t>
      </w:r>
      <w:r>
        <w:rPr>
          <w:rFonts w:ascii="仿宋_GB2312" w:hAnsi="方正楷体_GBK" w:eastAsia="仿宋_GB2312" w:cs="仿宋_GB2312"/>
          <w:color w:val="auto"/>
          <w:sz w:val="32"/>
          <w:szCs w:val="32"/>
          <w:lang w:eastAsia="zh-CN"/>
        </w:rPr>
        <w:t>及时</w:t>
      </w:r>
      <w:r>
        <w:rPr>
          <w:rFonts w:hint="eastAsia" w:ascii="仿宋_GB2312" w:hAnsi="方正楷体_GBK" w:eastAsia="仿宋_GB2312" w:cs="仿宋_GB2312"/>
          <w:color w:val="auto"/>
          <w:sz w:val="32"/>
          <w:szCs w:val="32"/>
          <w:lang w:eastAsia="zh-CN"/>
        </w:rPr>
        <w:t>送至指定地点</w:t>
      </w:r>
      <w:r>
        <w:rPr>
          <w:rFonts w:ascii="仿宋_GB2312" w:hAnsi="方正楷体_GBK" w:eastAsia="仿宋_GB2312" w:cs="仿宋_GB2312"/>
          <w:color w:val="auto"/>
          <w:sz w:val="32"/>
          <w:szCs w:val="32"/>
          <w:lang w:eastAsia="zh-CN"/>
        </w:rPr>
        <w:t>处置，</w:t>
      </w:r>
      <w:r>
        <w:rPr>
          <w:rFonts w:hint="eastAsia" w:ascii="仿宋_GB2312" w:hAnsi="方正楷体_GBK" w:eastAsia="仿宋_GB2312" w:cs="仿宋_GB2312"/>
          <w:color w:val="auto"/>
          <w:sz w:val="32"/>
          <w:szCs w:val="32"/>
          <w:lang w:eastAsia="zh-CN"/>
        </w:rPr>
        <w:t>生活垃圾集中收集，定期由市政部门统一清运。</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color w:val="auto"/>
          <w:sz w:val="32"/>
          <w:szCs w:val="32"/>
          <w:lang w:eastAsia="zh-CN"/>
        </w:rPr>
        <w:t>（</w:t>
      </w:r>
      <w:r>
        <w:rPr>
          <w:rFonts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lang w:eastAsia="zh-CN"/>
        </w:rPr>
        <w:t>）</w:t>
      </w:r>
      <w:r>
        <w:rPr>
          <w:rFonts w:ascii="方正楷体_GBK" w:hAnsi="方正楷体_GBK" w:eastAsia="方正楷体_GBK" w:cs="方正楷体_GBK"/>
          <w:color w:val="auto"/>
          <w:sz w:val="32"/>
          <w:szCs w:val="32"/>
          <w:lang w:eastAsia="zh-CN"/>
        </w:rPr>
        <w:t>大气环境</w:t>
      </w:r>
      <w:r>
        <w:rPr>
          <w:rFonts w:hint="eastAsia" w:ascii="方正楷体_GBK" w:hAnsi="方正楷体_GBK" w:eastAsia="方正楷体_GBK" w:cs="方正楷体_GBK"/>
          <w:color w:val="auto"/>
          <w:sz w:val="32"/>
          <w:szCs w:val="32"/>
          <w:lang w:eastAsia="zh-CN"/>
        </w:rPr>
        <w:t>影响</w:t>
      </w:r>
      <w:r>
        <w:rPr>
          <w:rFonts w:hint="eastAsia" w:ascii="方正楷体_GBK" w:hAnsi="方正楷体_GBK" w:eastAsia="方正楷体_GBK" w:cs="方正楷体_GBK"/>
          <w:color w:val="auto"/>
          <w:sz w:val="32"/>
          <w:szCs w:val="32"/>
          <w:lang w:val="en-US" w:eastAsia="zh-CN"/>
        </w:rPr>
        <w:t>及保护措施</w:t>
      </w:r>
      <w:r>
        <w:rPr>
          <w:rFonts w:hint="eastAsia" w:ascii="方正楷体_GBK" w:hAnsi="方正楷体_GBK" w:eastAsia="方正楷体_GBK" w:cs="方正楷体_GBK"/>
          <w:color w:val="auto"/>
          <w:sz w:val="32"/>
          <w:szCs w:val="32"/>
          <w:lang w:eastAsia="zh-CN"/>
        </w:rPr>
        <w:t>。</w:t>
      </w:r>
      <w:r>
        <w:rPr>
          <w:rFonts w:ascii="Times New Roman" w:hAnsi="Times New Roman" w:eastAsia="仿宋_GB2312" w:cs="Times New Roman"/>
          <w:color w:val="auto"/>
          <w:kern w:val="0"/>
          <w:sz w:val="32"/>
          <w:szCs w:val="32"/>
          <w:lang w:val="en-US" w:eastAsia="zh-CN" w:bidi="ar-SA"/>
        </w:rPr>
        <w:t>项目锅炉烟气</w:t>
      </w:r>
      <w:r>
        <w:rPr>
          <w:rFonts w:hint="eastAsia" w:eastAsia="仿宋_GB2312" w:cs="Times New Roman"/>
          <w:color w:val="auto"/>
          <w:kern w:val="0"/>
          <w:sz w:val="32"/>
          <w:szCs w:val="32"/>
          <w:lang w:val="en-US" w:eastAsia="zh-CN" w:bidi="ar-SA"/>
        </w:rPr>
        <w:t>经旋风除尘器和布袋除尘器</w:t>
      </w:r>
      <w:r>
        <w:rPr>
          <w:rFonts w:ascii="Times New Roman" w:hAnsi="Times New Roman" w:eastAsia="仿宋_GB2312" w:cs="Times New Roman"/>
          <w:color w:val="auto"/>
          <w:kern w:val="0"/>
          <w:sz w:val="32"/>
          <w:szCs w:val="32"/>
          <w:lang w:val="en-US" w:eastAsia="zh-CN" w:bidi="ar-SA"/>
        </w:rPr>
        <w:t>处理后</w:t>
      </w:r>
      <w:r>
        <w:rPr>
          <w:rFonts w:hint="eastAsia" w:eastAsia="仿宋_GB2312" w:cs="Times New Roman"/>
          <w:color w:val="auto"/>
          <w:kern w:val="0"/>
          <w:sz w:val="32"/>
          <w:szCs w:val="32"/>
          <w:lang w:val="en-US" w:eastAsia="zh-CN" w:bidi="ar-SA"/>
        </w:rPr>
        <w:t>通过35</w:t>
      </w:r>
      <w:r>
        <w:rPr>
          <w:rFonts w:ascii="Times New Roman" w:hAnsi="Times New Roman" w:eastAsia="仿宋_GB2312" w:cs="Times New Roman"/>
          <w:color w:val="auto"/>
          <w:kern w:val="0"/>
          <w:sz w:val="32"/>
          <w:szCs w:val="32"/>
          <w:lang w:val="en-US" w:eastAsia="zh-CN" w:bidi="ar-SA"/>
        </w:rPr>
        <w:t>m</w:t>
      </w:r>
      <w:r>
        <w:rPr>
          <w:rFonts w:hint="eastAsia" w:eastAsia="仿宋_GB2312" w:cs="Times New Roman"/>
          <w:color w:val="auto"/>
          <w:kern w:val="0"/>
          <w:sz w:val="32"/>
          <w:szCs w:val="32"/>
          <w:lang w:val="en-US" w:eastAsia="zh-CN" w:bidi="ar-SA"/>
        </w:rPr>
        <w:t>排气筒</w:t>
      </w:r>
      <w:r>
        <w:rPr>
          <w:rFonts w:ascii="Times New Roman" w:hAnsi="Times New Roman" w:eastAsia="仿宋_GB2312" w:cs="Times New Roman"/>
          <w:color w:val="auto"/>
          <w:kern w:val="0"/>
          <w:sz w:val="32"/>
          <w:szCs w:val="32"/>
          <w:lang w:val="en-US" w:eastAsia="zh-CN" w:bidi="ar-SA"/>
        </w:rPr>
        <w:t>排放，</w:t>
      </w:r>
      <w:r>
        <w:rPr>
          <w:rFonts w:hint="eastAsia" w:eastAsia="仿宋_GB2312" w:cs="Times New Roman"/>
          <w:color w:val="auto"/>
          <w:kern w:val="0"/>
          <w:sz w:val="32"/>
          <w:szCs w:val="32"/>
          <w:lang w:val="en-US" w:eastAsia="zh-CN" w:bidi="ar-SA"/>
        </w:rPr>
        <w:t>颗粒物、二氧化硫、氮氧化物排放浓度及林格曼黑度应符合</w:t>
      </w:r>
      <w:r>
        <w:rPr>
          <w:rFonts w:ascii="Times New Roman" w:hAnsi="Times New Roman" w:eastAsia="仿宋_GB2312" w:cs="Times New Roman"/>
          <w:color w:val="auto"/>
          <w:kern w:val="0"/>
          <w:sz w:val="32"/>
          <w:szCs w:val="32"/>
          <w:lang w:val="en-US" w:eastAsia="zh-CN" w:bidi="ar-SA"/>
        </w:rPr>
        <w:t>《锅炉大气污染物排放标准》（GB13271-2014）表2中燃煤锅炉大气污染物排放限值要求。</w:t>
      </w:r>
      <w:r>
        <w:rPr>
          <w:rFonts w:hint="eastAsia" w:eastAsia="仿宋_GB2312" w:cs="Times New Roman"/>
          <w:color w:val="auto"/>
          <w:kern w:val="0"/>
          <w:sz w:val="32"/>
          <w:szCs w:val="32"/>
          <w:lang w:val="en-US" w:eastAsia="zh-CN" w:bidi="ar-SA"/>
        </w:rPr>
        <w:t>生物质燃料进行苫盖，灰渣库等定期洒水降尘，</w:t>
      </w:r>
      <w:r>
        <w:rPr>
          <w:rFonts w:ascii="Times New Roman" w:hAnsi="Times New Roman" w:eastAsia="仿宋_GB2312" w:cs="Times New Roman"/>
          <w:color w:val="auto"/>
          <w:kern w:val="0"/>
          <w:sz w:val="32"/>
          <w:szCs w:val="32"/>
          <w:lang w:val="en-US" w:eastAsia="zh-CN" w:bidi="ar-SA"/>
        </w:rPr>
        <w:t>厂界颗粒物排放浓度应符合《大气污染物综合排放标准》（GB16297-1996）表2中无组织排放监控浓度限值要求。</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eastAsia="仿宋_GB2312"/>
          <w:kern w:val="0"/>
          <w:sz w:val="32"/>
          <w:szCs w:val="32"/>
        </w:rPr>
      </w:pPr>
      <w:r>
        <w:rPr>
          <w:rFonts w:ascii="方正楷体_GBK" w:hAnsi="方正楷体_GBK" w:eastAsia="方正楷体_GBK" w:cs="方正楷体_GBK"/>
          <w:sz w:val="32"/>
          <w:szCs w:val="32"/>
        </w:rPr>
        <w:t>（三）水环境影响及保护措施。</w:t>
      </w:r>
      <w:r>
        <w:rPr>
          <w:rFonts w:hint="eastAsia" w:ascii="Times New Roman" w:hAnsi="Times New Roman" w:eastAsia="仿宋_GB2312" w:cs="Times New Roman"/>
          <w:color w:val="auto"/>
          <w:kern w:val="0"/>
          <w:sz w:val="32"/>
          <w:szCs w:val="32"/>
          <w:lang w:val="en-US" w:eastAsia="zh-CN" w:bidi="ar-SA"/>
        </w:rPr>
        <w:t>项目</w:t>
      </w:r>
      <w:r>
        <w:rPr>
          <w:rFonts w:ascii="Times New Roman" w:hAnsi="Times New Roman" w:eastAsia="仿宋_GB2312" w:cs="Times New Roman"/>
          <w:color w:val="auto"/>
          <w:kern w:val="0"/>
          <w:sz w:val="32"/>
          <w:szCs w:val="32"/>
          <w:lang w:val="en-US" w:eastAsia="zh-CN" w:bidi="ar-SA"/>
        </w:rPr>
        <w:t>不新增员工，无新增生活污水</w:t>
      </w:r>
      <w:r>
        <w:rPr>
          <w:rFonts w:hint="eastAsia" w:eastAsia="仿宋_GB2312" w:cs="Times New Roman"/>
          <w:color w:val="auto"/>
          <w:kern w:val="0"/>
          <w:sz w:val="32"/>
          <w:szCs w:val="32"/>
          <w:lang w:val="en-US" w:eastAsia="zh-CN" w:bidi="ar-SA"/>
        </w:rPr>
        <w:t>。锅炉排污水经过市政污水管网进入恒山区污水处理厂处理最终排入穆棱河。污水排放浓度应符合《污水综合排放标准》（GB8978-1996）三级标准。</w:t>
      </w:r>
      <w:r>
        <w:rPr>
          <w:rFonts w:ascii="Times New Roman" w:hAnsi="Times New Roman" w:eastAsia="仿宋_GB2312" w:cs="Times New Roman"/>
          <w:color w:val="auto"/>
          <w:kern w:val="0"/>
          <w:sz w:val="32"/>
          <w:szCs w:val="32"/>
          <w:lang w:val="en-US" w:eastAsia="zh-CN" w:bidi="ar-SA"/>
        </w:rPr>
        <w:t>项目应严格落实地下水保护措施，做好锅炉房</w:t>
      </w:r>
      <w:r>
        <w:rPr>
          <w:rFonts w:hint="eastAsia" w:eastAsia="仿宋_GB2312" w:cs="Times New Roman"/>
          <w:color w:val="auto"/>
          <w:kern w:val="0"/>
          <w:sz w:val="32"/>
          <w:szCs w:val="32"/>
          <w:lang w:val="en-US" w:eastAsia="zh-CN" w:bidi="ar-SA"/>
        </w:rPr>
        <w:t>、灰渣库</w:t>
      </w:r>
      <w:r>
        <w:rPr>
          <w:rFonts w:ascii="Times New Roman" w:hAnsi="Times New Roman" w:eastAsia="仿宋_GB2312" w:cs="Times New Roman"/>
          <w:color w:val="auto"/>
          <w:kern w:val="0"/>
          <w:sz w:val="32"/>
          <w:szCs w:val="32"/>
          <w:lang w:val="en-US" w:eastAsia="zh-CN" w:bidi="ar-SA"/>
        </w:rPr>
        <w:t>各区域防渗处理。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rPr>
        <w:t>（</w:t>
      </w:r>
      <w:r>
        <w:rPr>
          <w:rFonts w:ascii="方正楷体_GBK" w:hAnsi="方正楷体_GBK" w:eastAsia="方正楷体_GBK" w:cs="方正楷体_GBK"/>
          <w:color w:val="auto"/>
          <w:kern w:val="0"/>
          <w:sz w:val="32"/>
          <w:szCs w:val="32"/>
          <w:lang w:val="en-US" w:eastAsia="zh-CN"/>
        </w:rPr>
        <w:t>四</w:t>
      </w:r>
      <w:r>
        <w:rPr>
          <w:rFonts w:hint="eastAsia" w:ascii="方正楷体_GBK" w:hAnsi="方正楷体_GBK" w:eastAsia="方正楷体_GBK" w:cs="方正楷体_GBK"/>
          <w:color w:val="auto"/>
          <w:kern w:val="0"/>
          <w:sz w:val="32"/>
          <w:szCs w:val="32"/>
          <w:lang w:val="en-US" w:eastAsia="zh-CN"/>
        </w:rPr>
        <w:t>）声环境影响及保护措施</w:t>
      </w:r>
      <w:r>
        <w:rPr>
          <w:rFonts w:hint="eastAsia" w:ascii="仿宋_GB2312" w:hAnsi="仿宋_GB2312" w:eastAsia="仿宋_GB2312" w:cs="仿宋_GB2312"/>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bidi="ar-SA"/>
        </w:rPr>
        <w:t>项目应选用低噪声设备，</w:t>
      </w:r>
      <w:r>
        <w:rPr>
          <w:rFonts w:ascii="Times New Roman" w:hAnsi="Times New Roman" w:eastAsia="仿宋_GB2312" w:cs="Times New Roman"/>
          <w:color w:val="auto"/>
          <w:kern w:val="0"/>
          <w:sz w:val="32"/>
          <w:szCs w:val="32"/>
          <w:lang w:val="en-US" w:eastAsia="zh-CN" w:bidi="ar-SA"/>
        </w:rPr>
        <w:t>采取厂房</w:t>
      </w:r>
      <w:r>
        <w:rPr>
          <w:rFonts w:hint="eastAsia" w:ascii="Times New Roman" w:hAnsi="Times New Roman" w:eastAsia="仿宋_GB2312" w:cs="Times New Roman"/>
          <w:color w:val="auto"/>
          <w:kern w:val="0"/>
          <w:sz w:val="32"/>
          <w:szCs w:val="32"/>
          <w:lang w:val="en-US" w:eastAsia="zh-CN" w:bidi="ar-SA"/>
        </w:rPr>
        <w:t>隔声</w:t>
      </w:r>
      <w:r>
        <w:rPr>
          <w:rFonts w:ascii="Times New Roman" w:hAnsi="Times New Roman" w:eastAsia="仿宋_GB2312" w:cs="Times New Roman"/>
          <w:color w:val="auto"/>
          <w:kern w:val="0"/>
          <w:sz w:val="32"/>
          <w:szCs w:val="32"/>
          <w:lang w:val="en-US" w:eastAsia="zh-CN" w:bidi="ar-SA"/>
        </w:rPr>
        <w:t>和基础减振等措施，厂界</w:t>
      </w:r>
      <w:r>
        <w:rPr>
          <w:rFonts w:hint="eastAsia" w:ascii="Times New Roman" w:hAnsi="Times New Roman" w:eastAsia="仿宋_GB2312" w:cs="Times New Roman"/>
          <w:color w:val="auto"/>
          <w:kern w:val="0"/>
          <w:sz w:val="32"/>
          <w:szCs w:val="32"/>
          <w:lang w:val="en-US" w:eastAsia="zh-CN" w:bidi="ar-SA"/>
        </w:rPr>
        <w:t>噪声</w:t>
      </w:r>
      <w:r>
        <w:rPr>
          <w:rFonts w:ascii="Times New Roman" w:hAnsi="Times New Roman" w:eastAsia="仿宋_GB2312" w:cs="Times New Roman"/>
          <w:color w:val="auto"/>
          <w:kern w:val="0"/>
          <w:sz w:val="32"/>
          <w:szCs w:val="32"/>
          <w:lang w:val="en-US" w:eastAsia="zh-CN" w:bidi="ar-SA"/>
        </w:rPr>
        <w:t>应符合</w:t>
      </w:r>
      <w:r>
        <w:rPr>
          <w:rFonts w:hint="eastAsia" w:ascii="Times New Roman" w:hAnsi="Times New Roman" w:eastAsia="仿宋_GB2312" w:cs="Times New Roman"/>
          <w:color w:val="auto"/>
          <w:kern w:val="0"/>
          <w:sz w:val="32"/>
          <w:szCs w:val="32"/>
          <w:lang w:val="en-US" w:eastAsia="zh-CN" w:bidi="ar-SA"/>
        </w:rPr>
        <w:t>《工业企业厂界环境噪声排放标准》（GB12348-2008）中</w:t>
      </w:r>
      <w:r>
        <w:rPr>
          <w:rFonts w:ascii="Times New Roman" w:hAnsi="Times New Roman" w:eastAsia="仿宋_GB2312" w:cs="Times New Roman"/>
          <w:color w:val="auto"/>
          <w:kern w:val="0"/>
          <w:sz w:val="32"/>
          <w:szCs w:val="32"/>
          <w:lang w:val="en-US" w:eastAsia="zh-CN" w:bidi="ar-SA"/>
        </w:rPr>
        <w:t>2</w:t>
      </w:r>
      <w:r>
        <w:rPr>
          <w:rFonts w:hint="eastAsia" w:ascii="Times New Roman" w:hAnsi="Times New Roman" w:eastAsia="仿宋_GB2312" w:cs="Times New Roman"/>
          <w:color w:val="auto"/>
          <w:kern w:val="0"/>
          <w:sz w:val="32"/>
          <w:szCs w:val="32"/>
          <w:lang w:val="en-US" w:eastAsia="zh-CN" w:bidi="ar-SA"/>
        </w:rPr>
        <w:t>类标准</w:t>
      </w:r>
      <w:r>
        <w:rPr>
          <w:rFonts w:ascii="Times New Roman" w:hAnsi="Times New Roman" w:eastAsia="仿宋_GB2312" w:cs="Times New Roman"/>
          <w:color w:val="auto"/>
          <w:kern w:val="0"/>
          <w:sz w:val="32"/>
          <w:szCs w:val="32"/>
          <w:lang w:val="en-US" w:eastAsia="zh-CN" w:bidi="ar-SA"/>
        </w:rPr>
        <w:t>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rPr>
        <w:t>（</w:t>
      </w:r>
      <w:r>
        <w:rPr>
          <w:rFonts w:ascii="方正楷体_GBK" w:hAnsi="方正楷体_GBK" w:eastAsia="方正楷体_GBK" w:cs="方正楷体_GBK"/>
          <w:color w:val="auto"/>
          <w:kern w:val="0"/>
          <w:sz w:val="32"/>
          <w:szCs w:val="32"/>
          <w:lang w:val="en-US" w:eastAsia="zh-CN"/>
        </w:rPr>
        <w:t>五</w:t>
      </w:r>
      <w:r>
        <w:rPr>
          <w:rFonts w:hint="eastAsia" w:ascii="方正楷体_GBK" w:hAnsi="方正楷体_GBK" w:eastAsia="方正楷体_GBK" w:cs="方正楷体_GBK"/>
          <w:color w:val="auto"/>
          <w:kern w:val="0"/>
          <w:sz w:val="32"/>
          <w:szCs w:val="32"/>
          <w:lang w:val="en-US" w:eastAsia="zh-CN"/>
        </w:rPr>
        <w:t>）</w:t>
      </w:r>
      <w:r>
        <w:rPr>
          <w:rFonts w:hint="eastAsia" w:eastAsia="方正楷体_GBK" w:cs="方正楷体_GBK"/>
          <w:color w:val="auto"/>
          <w:kern w:val="0"/>
          <w:sz w:val="32"/>
          <w:szCs w:val="32"/>
          <w:lang w:val="en-US" w:eastAsia="zh-CN"/>
        </w:rPr>
        <w:t>固体废物环境影响及保护措施</w:t>
      </w:r>
      <w:r>
        <w:rPr>
          <w:rFonts w:hint="eastAsia" w:eastAsia="方正楷体_GBK" w:cs="方正楷体_GBK"/>
          <w:color w:val="auto"/>
          <w:sz w:val="32"/>
          <w:szCs w:val="32"/>
        </w:rPr>
        <w:t>。</w:t>
      </w:r>
      <w:r>
        <w:rPr>
          <w:rFonts w:hint="eastAsia" w:ascii="Times New Roman" w:hAnsi="Times New Roman" w:eastAsia="仿宋_GB2312" w:cs="Times New Roman"/>
          <w:color w:val="auto"/>
          <w:kern w:val="0"/>
          <w:sz w:val="32"/>
          <w:szCs w:val="32"/>
          <w:lang w:val="en-US" w:eastAsia="zh-CN" w:bidi="ar-SA"/>
        </w:rPr>
        <w:t>锅炉</w:t>
      </w:r>
      <w:r>
        <w:rPr>
          <w:rFonts w:hint="eastAsia" w:eastAsia="仿宋_GB2312" w:cs="Times New Roman"/>
          <w:color w:val="auto"/>
          <w:kern w:val="0"/>
          <w:sz w:val="32"/>
          <w:szCs w:val="32"/>
          <w:lang w:val="en-US" w:eastAsia="zh-CN" w:bidi="ar-SA"/>
        </w:rPr>
        <w:t>旋风除尘器和布袋除尘器收尘、炉渣集中收集后暂存于灰渣库，外售综合利用。废布袋定期更换，由厂家回收。锅炉泥垢定期清理，由</w:t>
      </w:r>
      <w:bookmarkStart w:id="0" w:name="_GoBack"/>
      <w:bookmarkEnd w:id="0"/>
      <w:r>
        <w:rPr>
          <w:rFonts w:hint="eastAsia" w:eastAsia="仿宋_GB2312" w:cs="Times New Roman"/>
          <w:color w:val="auto"/>
          <w:kern w:val="0"/>
          <w:sz w:val="32"/>
          <w:szCs w:val="32"/>
          <w:lang w:val="en-US" w:eastAsia="zh-CN" w:bidi="ar-SA"/>
        </w:rPr>
        <w:t>市政部门统一处理。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方正楷体_GBK" w:hAnsi="方正楷体_GBK" w:eastAsia="方正楷体_GBK" w:cs="方正楷体_GBK"/>
          <w:sz w:val="32"/>
          <w:szCs w:val="32"/>
        </w:rPr>
        <w:t>（</w:t>
      </w:r>
      <w:r>
        <w:rPr>
          <w:rFonts w:ascii="方正楷体_GBK" w:hAnsi="方正楷体_GBK" w:eastAsia="方正楷体_GBK" w:cs="方正楷体_GBK"/>
          <w:sz w:val="32"/>
          <w:szCs w:val="32"/>
        </w:rPr>
        <w:t>六</w:t>
      </w:r>
      <w:r>
        <w:rPr>
          <w:rFonts w:hint="eastAsia" w:ascii="方正楷体_GBK" w:hAnsi="方正楷体_GBK" w:eastAsia="方正楷体_GBK" w:cs="方正楷体_GBK"/>
          <w:sz w:val="32"/>
          <w:szCs w:val="32"/>
        </w:rPr>
        <w:t>）环境风险及保护措施。</w:t>
      </w:r>
      <w:r>
        <w:rPr>
          <w:rFonts w:hint="eastAsia" w:ascii="Times New Roman" w:hAnsi="Times New Roman" w:eastAsia="仿宋_GB2312" w:cs="Times New Roman"/>
          <w:color w:val="auto"/>
          <w:kern w:val="0"/>
          <w:sz w:val="32"/>
          <w:szCs w:val="32"/>
          <w:lang w:val="en-US" w:eastAsia="zh-CN" w:bidi="ar-SA"/>
        </w:rPr>
        <w:t>项目应严格落实《报告</w:t>
      </w:r>
      <w:r>
        <w:rPr>
          <w:rFonts w:hint="eastAsia" w:eastAsia="仿宋_GB2312" w:cs="Times New Roman"/>
          <w:color w:val="auto"/>
          <w:kern w:val="0"/>
          <w:sz w:val="32"/>
          <w:szCs w:val="32"/>
          <w:lang w:val="en-US" w:eastAsia="zh-CN" w:bidi="ar-SA"/>
        </w:rPr>
        <w:t>表</w:t>
      </w:r>
      <w:r>
        <w:rPr>
          <w:rFonts w:hint="eastAsia" w:ascii="Times New Roman" w:hAnsi="Times New Roman" w:eastAsia="仿宋_GB2312" w:cs="Times New Roman"/>
          <w:color w:val="auto"/>
          <w:kern w:val="0"/>
          <w:sz w:val="32"/>
          <w:szCs w:val="32"/>
          <w:lang w:val="en-US" w:eastAsia="zh-CN" w:bidi="ar-SA"/>
        </w:rPr>
        <w:t>》中提出的风险防范措施，编制环境风险应急预案，加强风险点位预警、预防，防止风险事故发生。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三、你单位应建立企业内部生态环境管理机构和制度，明确人员和职责，加强生态环境管理。项目实施必须严格执行环境保护设施与主体工程同时设计、同时施工、同时投产使用的环境保护“三同时”制度。</w:t>
      </w:r>
      <w:r>
        <w:rPr>
          <w:rFonts w:ascii="仿宋_GB2312" w:hAnsi="仿宋_GB2312" w:eastAsia="仿宋_GB2312" w:cs="仿宋_GB2312"/>
          <w:color w:val="auto"/>
          <w:sz w:val="32"/>
          <w:szCs w:val="32"/>
        </w:rPr>
        <w:t>在启动生产设施或者在实际排污之前，建设单位应依法履行排污许可手续。</w:t>
      </w:r>
      <w:r>
        <w:rPr>
          <w:rFonts w:hint="eastAsia" w:ascii="仿宋_GB2312" w:hAnsi="仿宋_GB2312" w:eastAsia="仿宋_GB2312" w:cs="仿宋_GB2312"/>
          <w:color w:val="auto"/>
          <w:sz w:val="32"/>
          <w:szCs w:val="32"/>
        </w:rPr>
        <w:t>项目建成后，应按规定程序实施竣工环境保护验收</w:t>
      </w:r>
      <w:r>
        <w:rPr>
          <w:rFonts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lang w:eastAsia="zh-CN"/>
        </w:rPr>
      </w:pPr>
      <w:r>
        <w:rPr>
          <w:rFonts w:ascii="Times New Roman" w:hAnsi="Times New Roman" w:eastAsia="仿宋_GB2312" w:cs="Times New Roman"/>
          <w:kern w:val="0"/>
          <w:sz w:val="32"/>
          <w:szCs w:val="32"/>
        </w:rPr>
        <w:t>四</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sz w:val="32"/>
          <w:szCs w:val="32"/>
        </w:rPr>
        <w:t>报告</w:t>
      </w:r>
      <w:r>
        <w:rPr>
          <w:rFonts w:hint="eastAsia" w:eastAsia="仿宋_GB2312" w:cs="Times New Roman"/>
          <w:sz w:val="32"/>
          <w:szCs w:val="32"/>
          <w:lang w:eastAsia="zh-CN"/>
        </w:rPr>
        <w:t>表</w:t>
      </w:r>
      <w:r>
        <w:rPr>
          <w:rFonts w:ascii="Times New Roman" w:hAnsi="Times New Roman" w:eastAsia="仿宋_GB2312" w:cs="Times New Roman"/>
          <w:sz w:val="32"/>
          <w:szCs w:val="32"/>
        </w:rPr>
        <w:t>》经批准后，项目的性质、规模、地点或者污染</w:t>
      </w:r>
      <w:r>
        <w:rPr>
          <w:rFonts w:hint="eastAsia" w:eastAsia="仿宋_GB2312" w:cs="Times New Roman"/>
          <w:sz w:val="32"/>
          <w:szCs w:val="32"/>
          <w:lang w:eastAsia="zh-CN"/>
        </w:rPr>
        <w:t>防治</w:t>
      </w:r>
      <w:r>
        <w:rPr>
          <w:rFonts w:ascii="Times New Roman" w:hAnsi="Times New Roman" w:eastAsia="仿宋_GB2312" w:cs="Times New Roman"/>
          <w:sz w:val="32"/>
          <w:szCs w:val="32"/>
        </w:rPr>
        <w:t>措施发生重大变动的，应当重新报批该项目的《报告</w:t>
      </w:r>
      <w:r>
        <w:rPr>
          <w:rFonts w:hint="eastAsia" w:eastAsia="仿宋_GB2312" w:cs="Times New Roman"/>
          <w:sz w:val="32"/>
          <w:szCs w:val="32"/>
          <w:lang w:eastAsia="zh-CN"/>
        </w:rPr>
        <w:t>表</w:t>
      </w:r>
      <w:r>
        <w:rPr>
          <w:rFonts w:ascii="Times New Roman" w:hAnsi="Times New Roman" w:eastAsia="仿宋_GB2312" w:cs="Times New Roman"/>
          <w:sz w:val="32"/>
          <w:szCs w:val="32"/>
        </w:rPr>
        <w:t>》。自《报告</w:t>
      </w:r>
      <w:r>
        <w:rPr>
          <w:rFonts w:hint="eastAsia" w:eastAsia="仿宋_GB2312" w:cs="Times New Roman"/>
          <w:sz w:val="32"/>
          <w:szCs w:val="32"/>
          <w:lang w:eastAsia="zh-CN"/>
        </w:rPr>
        <w:t>表</w:t>
      </w:r>
      <w:r>
        <w:rPr>
          <w:rFonts w:ascii="Times New Roman" w:hAnsi="Times New Roman" w:eastAsia="仿宋_GB2312" w:cs="Times New Roman"/>
          <w:sz w:val="32"/>
          <w:szCs w:val="32"/>
        </w:rPr>
        <w:t>》批复文件批准之日起，如超过5年方决定开工建设的，《报告</w:t>
      </w:r>
      <w:r>
        <w:rPr>
          <w:rFonts w:hint="eastAsia" w:eastAsia="仿宋_GB2312" w:cs="Times New Roman"/>
          <w:sz w:val="32"/>
          <w:szCs w:val="32"/>
          <w:lang w:eastAsia="zh-CN"/>
        </w:rPr>
        <w:t>表</w:t>
      </w:r>
      <w:r>
        <w:rPr>
          <w:rFonts w:ascii="Times New Roman" w:hAnsi="Times New Roman" w:eastAsia="仿宋_GB2312" w:cs="Times New Roman"/>
          <w:sz w:val="32"/>
          <w:szCs w:val="32"/>
        </w:rPr>
        <w:t>》应当重新审核。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val="en-US" w:eastAsia="zh-CN"/>
        </w:rPr>
        <w:t>五</w:t>
      </w:r>
      <w:r>
        <w:rPr>
          <w:rFonts w:ascii="Times New Roman" w:hAnsi="Times New Roman" w:eastAsia="仿宋_GB2312" w:cs="Times New Roman"/>
          <w:color w:val="auto"/>
          <w:sz w:val="32"/>
          <w:szCs w:val="32"/>
          <w:lang w:eastAsia="zh-CN"/>
        </w:rPr>
        <w:t>、鸡西市</w:t>
      </w:r>
      <w:r>
        <w:rPr>
          <w:rFonts w:hint="eastAsia" w:eastAsia="仿宋_GB2312" w:cs="Times New Roman"/>
          <w:color w:val="auto"/>
          <w:sz w:val="32"/>
          <w:szCs w:val="32"/>
          <w:lang w:val="en-US" w:eastAsia="zh-CN"/>
        </w:rPr>
        <w:t>恒山</w:t>
      </w:r>
      <w:r>
        <w:rPr>
          <w:rFonts w:ascii="Times New Roman" w:hAnsi="Times New Roman" w:eastAsia="仿宋_GB2312" w:cs="Times New Roman"/>
          <w:color w:val="auto"/>
          <w:sz w:val="32"/>
          <w:szCs w:val="32"/>
          <w:lang w:eastAsia="zh-CN"/>
        </w:rPr>
        <w:t>生态环境局组织开展该项目环境保护事中事后监管工作。你单位应在收到本批复后10日内，将批准后的</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报告表</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和批复文件送至鸡西市</w:t>
      </w:r>
      <w:r>
        <w:rPr>
          <w:rFonts w:hint="eastAsia" w:eastAsia="仿宋_GB2312" w:cs="Times New Roman"/>
          <w:color w:val="auto"/>
          <w:sz w:val="32"/>
          <w:szCs w:val="32"/>
          <w:lang w:val="en-US" w:eastAsia="zh-CN"/>
        </w:rPr>
        <w:t>恒山</w:t>
      </w:r>
      <w:r>
        <w:rPr>
          <w:rFonts w:ascii="Times New Roman" w:hAnsi="Times New Roman" w:eastAsia="仿宋_GB2312" w:cs="Times New Roman"/>
          <w:color w:val="auto"/>
          <w:sz w:val="32"/>
          <w:szCs w:val="32"/>
          <w:lang w:eastAsia="zh-CN"/>
        </w:rPr>
        <w:t>生态环境局，并按规定接受各级生态环境主管部门的日常监督检查</w:t>
      </w:r>
      <w:r>
        <w:rPr>
          <w:rFonts w:hint="eastAsia" w:eastAsia="仿宋_GB2312" w:cs="Times New Roman"/>
          <w:color w:val="auto"/>
          <w:sz w:val="32"/>
          <w:szCs w:val="32"/>
          <w:lang w:eastAsia="zh-CN"/>
        </w:rPr>
        <w:t>。</w:t>
      </w:r>
    </w:p>
    <w:p>
      <w:pPr>
        <w:keepNext w:val="0"/>
        <w:keepLines w:val="0"/>
        <w:pageBreakBefore w:val="0"/>
        <w:kinsoku/>
        <w:wordWrap/>
        <w:overflowPunct/>
        <w:topLinePunct w:val="0"/>
        <w:autoSpaceDE/>
        <w:autoSpaceDN/>
        <w:adjustRightInd/>
        <w:snapToGrid/>
        <w:spacing w:line="560" w:lineRule="exact"/>
        <w:ind w:firstLine="640" w:firstLineChars="200"/>
        <w:rPr>
          <w:rFonts w:eastAsia="仿宋_GB2312"/>
          <w:sz w:val="32"/>
          <w:szCs w:val="32"/>
        </w:rPr>
      </w:pPr>
      <w:r>
        <w:rPr>
          <w:rFonts w:ascii="Times New Roman" w:hAnsi="Times New Roman" w:eastAsia="仿宋_GB2312" w:cs="Times New Roman"/>
          <w:color w:val="2F5597"/>
          <w:sz w:val="32"/>
          <w:szCs w:val="32"/>
        </w:rPr>
        <w:t xml:space="preserve">                    </w:t>
      </w:r>
      <w:r>
        <w:rPr>
          <w:rFonts w:ascii="Times New Roman" w:hAnsi="Times New Roman" w:eastAsia="仿宋_GB2312" w:cs="Times New Roman"/>
          <w:sz w:val="32"/>
          <w:szCs w:val="32"/>
        </w:rPr>
        <w:t xml:space="preserve">        </w:t>
      </w:r>
    </w:p>
    <w:p>
      <w:pPr>
        <w:pStyle w:val="2"/>
        <w:keepNext w:val="0"/>
        <w:keepLines w:val="0"/>
        <w:pageBreakBefore w:val="0"/>
        <w:widowControl/>
        <w:suppressLineNumbers w:val="0"/>
        <w:suppressAutoHyphens w:val="0"/>
        <w:bidi w:val="0"/>
        <w:spacing w:line="276" w:lineRule="auto"/>
        <w:ind w:left="0" w:firstLine="0"/>
      </w:pPr>
    </w:p>
    <w:p>
      <w:pPr>
        <w:keepNext w:val="0"/>
        <w:keepLines w:val="0"/>
        <w:pageBreakBefore w:val="0"/>
        <w:kinsoku/>
        <w:wordWrap/>
        <w:overflowPunct/>
        <w:topLinePunct w:val="0"/>
        <w:autoSpaceDE/>
        <w:autoSpaceDN/>
        <w:bidi w:val="0"/>
        <w:spacing w:beforeAutospacing="0" w:afterAutospacing="0"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鸡西市生态环境局</w:t>
      </w:r>
    </w:p>
    <w:p>
      <w:pPr>
        <w:keepNext w:val="0"/>
        <w:keepLines w:val="0"/>
        <w:pageBreakBefore w:val="0"/>
        <w:kinsoku/>
        <w:wordWrap/>
        <w:overflowPunct/>
        <w:topLinePunct w:val="0"/>
        <w:autoSpaceDE/>
        <w:autoSpaceDN/>
        <w:spacing w:beforeAutospacing="0" w:afterAutospacing="0" w:line="560" w:lineRule="exact"/>
        <w:jc w:val="right"/>
        <w:rPr>
          <w:rFonts w:eastAsia="仿宋_GB2312"/>
          <w:sz w:val="32"/>
          <w:szCs w:val="32"/>
        </w:rPr>
      </w:pPr>
      <w:r>
        <w:rPr>
          <w:rFonts w:ascii="Times New Roman" w:hAnsi="Times New Roman" w:eastAsia="仿宋_GB2312" w:cs="Times New Roman"/>
          <w:sz w:val="32"/>
          <w:szCs w:val="32"/>
        </w:rPr>
        <w:t xml:space="preserve">                                2025年</w:t>
      </w:r>
      <w:r>
        <w:rPr>
          <w:rFonts w:hint="eastAsia"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eastAsia="仿宋_GB2312" w:cs="Times New Roman"/>
          <w:sz w:val="32"/>
          <w:szCs w:val="32"/>
          <w:lang w:val="en-US" w:eastAsia="zh-CN"/>
        </w:rPr>
        <w:t>7</w:t>
      </w:r>
      <w:r>
        <w:rPr>
          <w:rFonts w:ascii="Times New Roman" w:hAnsi="Times New Roman" w:eastAsia="仿宋_GB2312" w:cs="Times New Roman"/>
          <w:sz w:val="32"/>
          <w:szCs w:val="32"/>
        </w:rPr>
        <w:t>日</w:t>
      </w:r>
    </w:p>
    <w:p>
      <w:pPr>
        <w:keepNext w:val="0"/>
        <w:keepLines w:val="0"/>
        <w:pageBreakBefore w:val="0"/>
        <w:widowControl w:val="0"/>
        <w:suppressLineNumbers w:val="0"/>
        <w:suppressAutoHyphens w:val="0"/>
        <w:bidi w:val="0"/>
        <w:spacing w:beforeAutospacing="0" w:afterAutospacing="0" w:line="560" w:lineRule="exact"/>
      </w:pPr>
    </w:p>
    <w:p>
      <w:pPr>
        <w:keepNext w:val="0"/>
        <w:keepLines w:val="0"/>
        <w:pageBreakBefore w:val="0"/>
        <w:pBdr>
          <w:top w:val="single" w:color="auto" w:sz="4" w:space="0"/>
          <w:bottom w:val="single" w:color="auto" w:sz="4" w:space="0"/>
        </w:pBdr>
        <w:kinsoku/>
        <w:wordWrap/>
        <w:overflowPunct/>
        <w:topLinePunct w:val="0"/>
        <w:autoSpaceDE/>
        <w:autoSpaceDN/>
        <w:bidi w:val="0"/>
        <w:spacing w:beforeAutospacing="0" w:afterAutospacing="0"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抄 送：鸡西市生</w:t>
      </w:r>
      <w:r>
        <w:rPr>
          <w:rFonts w:ascii="Times New Roman" w:hAnsi="Times New Roman" w:eastAsia="仿宋_GB2312" w:cs="Times New Roman"/>
          <w:kern w:val="0"/>
          <w:sz w:val="32"/>
          <w:szCs w:val="32"/>
        </w:rPr>
        <w:t>态环境保护综合行政执法局</w:t>
      </w:r>
      <w:r>
        <w:rPr>
          <w:rFonts w:hint="eastAsia" w:eastAsia="仿宋_GB2312" w:cs="Times New Roman"/>
          <w:kern w:val="0"/>
          <w:sz w:val="32"/>
          <w:szCs w:val="32"/>
          <w:lang w:val="en-US" w:eastAsia="zh-CN"/>
        </w:rPr>
        <w:t xml:space="preserve">  </w:t>
      </w:r>
      <w:r>
        <w:rPr>
          <w:rFonts w:ascii="Times New Roman" w:hAnsi="Times New Roman" w:eastAsia="仿宋_GB2312" w:cs="Times New Roman"/>
          <w:sz w:val="32"/>
          <w:szCs w:val="32"/>
        </w:rPr>
        <w:t>鸡西</w:t>
      </w:r>
      <w:r>
        <w:rPr>
          <w:rFonts w:hint="eastAsia" w:eastAsia="仿宋_GB2312" w:cs="Times New Roman"/>
          <w:sz w:val="32"/>
          <w:szCs w:val="32"/>
          <w:lang w:val="en-US" w:eastAsia="zh-CN"/>
        </w:rPr>
        <w:t>市恒山</w:t>
      </w:r>
      <w:r>
        <w:rPr>
          <w:rFonts w:ascii="Times New Roman" w:hAnsi="Times New Roman" w:eastAsia="仿宋_GB2312" w:cs="Times New Roman"/>
          <w:sz w:val="32"/>
          <w:szCs w:val="32"/>
        </w:rPr>
        <w:t>生态环境局</w:t>
      </w:r>
    </w:p>
    <w:p>
      <w:pPr>
        <w:keepNext w:val="0"/>
        <w:keepLines w:val="0"/>
        <w:pageBreakBefore w:val="0"/>
        <w:pBdr>
          <w:bottom w:val="single" w:color="auto" w:sz="4" w:space="0"/>
        </w:pBdr>
        <w:kinsoku/>
        <w:wordWrap/>
        <w:overflowPunct/>
        <w:topLinePunct w:val="0"/>
        <w:autoSpaceDE/>
        <w:autoSpaceDN/>
        <w:bidi w:val="0"/>
        <w:spacing w:beforeAutospacing="0" w:afterAutospacing="0"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鸡西市生态环境局办公室        </w:t>
      </w:r>
      <w:r>
        <w:rPr>
          <w:rFonts w:hint="eastAsia" w:eastAsia="仿宋_GB2312" w:cs="Times New Roman"/>
          <w:sz w:val="32"/>
          <w:szCs w:val="32"/>
          <w:lang w:val="en-US" w:eastAsia="zh-CN"/>
        </w:rPr>
        <w:t xml:space="preserve"> </w:t>
      </w:r>
      <w:r>
        <w:rPr>
          <w:rFonts w:ascii="Times New Roman" w:hAnsi="Times New Roman" w:eastAsia="仿宋_GB2312" w:cs="Times New Roman"/>
          <w:sz w:val="32"/>
          <w:szCs w:val="32"/>
        </w:rPr>
        <w:t xml:space="preserve">  2025年</w:t>
      </w:r>
      <w:r>
        <w:rPr>
          <w:rFonts w:hint="eastAsia" w:eastAsia="仿宋_GB2312" w:cs="Times New Roman"/>
          <w:sz w:val="32"/>
          <w:szCs w:val="32"/>
          <w:lang w:val="en-US" w:eastAsia="zh-CN"/>
        </w:rPr>
        <w:t>4</w:t>
      </w:r>
      <w:r>
        <w:rPr>
          <w:rFonts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7</w:t>
      </w:r>
      <w:r>
        <w:rPr>
          <w:rFonts w:ascii="Times New Roman" w:hAnsi="Times New Roman" w:eastAsia="仿宋_GB2312" w:cs="Times New Roman"/>
          <w:kern w:val="0"/>
          <w:sz w:val="32"/>
          <w:szCs w:val="32"/>
        </w:rPr>
        <w:t>日</w:t>
      </w:r>
      <w:r>
        <w:rPr>
          <w:rFonts w:ascii="Times New Roman" w:hAnsi="Times New Roman" w:eastAsia="仿宋_GB2312" w:cs="Times New Roman"/>
          <w:sz w:val="32"/>
          <w:szCs w:val="32"/>
        </w:rPr>
        <w:t>印发</w:t>
      </w:r>
    </w:p>
    <w:p>
      <w:pPr>
        <w:keepNext w:val="0"/>
        <w:keepLines w:val="0"/>
        <w:pageBreakBefore w:val="0"/>
        <w:kinsoku/>
        <w:wordWrap/>
        <w:overflowPunct/>
        <w:topLinePunct w:val="0"/>
        <w:autoSpaceDE/>
        <w:autoSpaceDN/>
        <w:bidi w:val="0"/>
        <w:spacing w:beforeAutospacing="0" w:afterAutospacing="0" w:line="560" w:lineRule="exact"/>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共印8份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Noto Music"/>
    <w:panose1 w:val="020B0602030504020204"/>
    <w:charset w:val="00"/>
    <w:family w:val="auto"/>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Music">
    <w:panose1 w:val="020B0502040504020204"/>
    <w:charset w:val="00"/>
    <w:family w:val="auto"/>
    <w:pitch w:val="default"/>
    <w:sig w:usb0="00000003" w:usb1="02006000" w:usb2="01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7620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76200" cy="131445"/>
                      </a:xfrm>
                      <a:prstGeom prst="rect">
                        <a:avLst/>
                      </a:prstGeom>
                      <a:noFill/>
                      <a:ln w="9525" cap="flat" cmpd="sng">
                        <a:noFill/>
                        <a:prstDash val="solid"/>
                        <a:round/>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0.35pt;width:6pt;mso-position-horizontal:center;mso-position-horizontal-relative:margin;mso-wrap-style:none;z-index:1024;mso-width-relative:page;mso-height-relative:page;" filled="f" stroked="f" coordsize="21600,21600" o:gfxdata="UEsFBgAAAAAAAAAAAAAAAAAAAAAAAFBLAwQKAAAAAACHTuJAAAAAAAAAAAAAAAAABAAAAGRycy9Q&#10;SwMEFAAAAAgAh07iQKe2mqLQAAAAAwEAAA8AAABkcnMvZG93bnJldi54bWxNj81qwzAQhO+FvoPY&#10;Qm+NFB+S4FrOoRBoSy5x+gCKtf6h0q6RlDh9+yq9pJeBYZaZb6vt1TtxwRBHJg3LhQKB1LIdqdfw&#10;ddy9bEDEZMgax4QafjDCtn58qExpeaYDXprUi1xCsTQahpSmUsrYDuhNXPCElLOOgzcp29BLG8yc&#10;y72ThVIr6c1IeWEwE74N2H43Z69BHpvdvGlcUPxZdHv38X7okLV+flqqVxAJr+l+DDf8jA51Zjrx&#10;mWwUTkN+JP3pLSuyO2ko1BpkXcn/7PUvUEsDBBQAAAAIAIdO4kDy2yk56gEAAK0DAAAOAAAAZHJz&#10;L2Uyb0RvYy54bWytU0uOEzEQ3SNxB8t70kmYDNBKZ4SIBiEhGGngABW3nbbkn1xOuocDwA1YsWHP&#10;uXIOyu58RrBDbNyv7PJzvarXy5vBGraXEbV3DZ9NppxJJ3yr3bbhnz/dPnvJGSZwLRjvZMMfJPKb&#10;1dMnyz7Ucu47b1oZGZE4rPvQ8C6lUFcVik5awIkP0tGh8tFCojBuqzZCT+zWVPPp9LrqfWxD9EIi&#10;0u56POSrwq+UFOmjUigTMw2n2lJZY1k3ea1WS6i3EUKnxbEM+IcqLGhHj56p1pCA7aL+i8pqET16&#10;lSbC28orpYUsGkjNbPqHmvsOgixaqDkYzm3C/0crPuzvItMtzY4zB5ZGdPj+7fDj1+HnVzbL7ekD&#10;1pR1H+7iMUKCWeugos1fUsGG0tKHc0vlkJigzRfXNCXOBJ3Mns+urhaZsrrcDRHTW+kty6DhkQZW&#10;+gj795jG1FNKfsr5W20M7UNtHOsb/moxXxA9kHWUgUTQBhKDbltoHuVnmjVgx/ZAXkBvdDtOP/qd&#10;a8enjKPisuBRYkZp2Ax0mOHGtw/ULHI7Vdr5+IWznpzTcEfW5sy8czSYbLITiCewOQFwgi42nAod&#10;4ZtEkQKDRLALUW874h7jLBLD610izaUVlxqOVZInSjOP/s2mexyXrMtft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p7aaotAAAAADAQAADwAAAAAAAAABACAAAAA4AAAAZHJzL2Rvd25yZXYueG1s&#10;UEsBAhQAFAAAAAgAh07iQPLbKTnqAQAArQMAAA4AAAAAAAAAAQAgAAAANQEAAGRycy9lMm9Eb2Mu&#10;eG1sUEsFBgAAAAAGAAYAWQEAAJEFAAAAAA==&#10;">
              <v:fill on="f" focussize="0,0"/>
              <v:stroke on="f" joinstyle="round"/>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OTZkYTY0YzY2NWYyNzQ0NTEzMmJlMWQ5ZTU0MzcwMTEifQ=="/>
  </w:docVars>
  <w:rsids>
    <w:rsidRoot w:val="00000000"/>
    <w:rsid w:val="31AA32FB"/>
    <w:rsid w:val="36F6D90E"/>
    <w:rsid w:val="43DFF712"/>
    <w:rsid w:val="79ED0DD6"/>
    <w:rsid w:val="C5F70A25"/>
    <w:rsid w:val="EDEC41D3"/>
    <w:rsid w:val="F1FBAFD3"/>
    <w:rsid w:val="FC0C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5"/>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link w:val="16"/>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7"/>
    <w:qFormat/>
    <w:uiPriority w:val="0"/>
    <w:pPr>
      <w:ind w:firstLine="420"/>
    </w:pPr>
  </w:style>
  <w:style w:type="character" w:customStyle="1" w:styleId="14">
    <w:name w:val="heading 1 Char"/>
    <w:basedOn w:val="13"/>
    <w:link w:val="3"/>
    <w:qFormat/>
    <w:uiPriority w:val="0"/>
    <w:rPr>
      <w:rFonts w:ascii="Times New Roman" w:hAnsi="Times New Roman" w:eastAsia="宋体" w:cs="Times New Roman"/>
      <w:b/>
      <w:bCs/>
      <w:kern w:val="44"/>
      <w:sz w:val="44"/>
      <w:szCs w:val="44"/>
      <w:lang w:val="en-US" w:eastAsia="zh-CN" w:bidi="ar-SA"/>
    </w:rPr>
  </w:style>
  <w:style w:type="character" w:customStyle="1" w:styleId="15">
    <w:name w:val="heading 2 Char"/>
    <w:basedOn w:val="13"/>
    <w:link w:val="4"/>
    <w:qFormat/>
    <w:uiPriority w:val="0"/>
    <w:rPr>
      <w:rFonts w:ascii="Times New Roman" w:hAnsi="Times New Roman" w:eastAsia="黑体" w:cs="Times New Roman"/>
      <w:b/>
      <w:bCs/>
      <w:kern w:val="2"/>
      <w:sz w:val="32"/>
      <w:szCs w:val="32"/>
      <w:lang w:val="en-US" w:eastAsia="zh-CN" w:bidi="ar-SA"/>
    </w:rPr>
  </w:style>
  <w:style w:type="character" w:customStyle="1" w:styleId="16">
    <w:name w:val="heading 3 Char"/>
    <w:basedOn w:val="13"/>
    <w:link w:val="5"/>
    <w:qFormat/>
    <w:uiPriority w:val="0"/>
    <w:rPr>
      <w:rFonts w:ascii="Times New Roman" w:hAnsi="Times New Roman" w:eastAsia="宋体" w:cs="Times New Roman"/>
      <w:b/>
      <w:bCs/>
      <w:kern w:val="2"/>
      <w:sz w:val="32"/>
      <w:szCs w:val="32"/>
      <w:lang w:val="en-US" w:eastAsia="zh-CN" w:bidi="ar-SA"/>
    </w:rPr>
  </w:style>
  <w:style w:type="paragraph" w:customStyle="1" w:styleId="17">
    <w:name w:val="报告表  段"/>
    <w:basedOn w:val="1"/>
    <w:qFormat/>
    <w:uiPriority w:val="0"/>
    <w:pPr>
      <w:adjustRightInd w:val="0"/>
      <w:spacing w:line="360" w:lineRule="auto"/>
      <w:ind w:firstLine="505"/>
    </w:pPr>
    <w:rPr>
      <w:rFonts w:ascii="Calibri" w:hAnsi="Calibri" w:cs="宋体"/>
    </w:rPr>
  </w:style>
  <w:style w:type="paragraph" w:styleId="18">
    <w:name w:val="List Paragraph"/>
    <w:basedOn w:val="1"/>
    <w:qFormat/>
    <w:uiPriority w:val="0"/>
    <w:pPr>
      <w:ind w:firstLine="200" w:firstLineChars="200"/>
    </w:pPr>
  </w:style>
  <w:style w:type="paragraph" w:customStyle="1" w:styleId="19">
    <w:name w:val="表格(新)"/>
    <w:basedOn w:val="1"/>
    <w:qFormat/>
    <w:uiPriority w:val="0"/>
    <w:pPr>
      <w:adjustRightInd w:val="0"/>
      <w:snapToGrid w:val="0"/>
      <w:spacing w:line="240" w:lineRule="auto"/>
      <w:ind w:firstLine="0"/>
      <w:jc w:val="center"/>
    </w:pPr>
    <w:rPr>
      <w:rFonts w:hAnsi="宋体" w:eastAsia="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tru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true"/>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tru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Pages>
  <Words>0</Words>
  <Characters>1629</Characters>
  <Lines>0</Lines>
  <Paragraphs>33</Paragraphs>
  <TotalTime>2</TotalTime>
  <ScaleCrop>false</ScaleCrop>
  <LinksUpToDate>false</LinksUpToDate>
  <CharactersWithSpaces>2173</CharactersWithSpaces>
  <Application>WPS Office_11.8.2.9849_F1E327BC-269C-435d-A152-05C5408002CA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2024-08-11T03:25:00Z</dcterms:created>
  <dc:creator>01</dc:creator>
  <cp:lastModifiedBy>greatwall</cp:lastModifiedBy>
  <cp:lastPrinted>2025-04-07T16:32:00Z</cp:lastPrinted>
  <dcterms:modified xsi:type="dcterms:W3CDTF">2025-04-07T08:44:45Z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F2603B43AD7B494A90323579F33BE185_13</vt:lpwstr>
  </property>
</Properties>
</file>